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jc w:val="center"/>
      </w:pPr>
      <w:r>
        <w:rPr>
          <w:rFonts w:ascii="Times New Roman" w:hAnsi="Times New Roman"/>
          <w:b/>
          <w:color w:val="000000"/>
          <w:sz w:val="28"/>
        </w:rPr>
        <w:t>ZMLUVA O ODBORNEJ PRAXI</w:t>
      </w:r>
    </w:p>
    <w:p>
      <w:pPr>
        <w:spacing w:before="0" w:after="60"/>
        <w:jc w:val="center"/>
      </w:pPr>
      <w:r>
        <w:rPr>
          <w:rFonts w:ascii="Times New Roman" w:hAnsi="Times New Roman"/>
          <w:b w:val="0"/>
          <w:color w:val="000000"/>
          <w:sz w:val="21"/>
        </w:rPr>
        <w:t>pre študijný program Náboženská a kultúrna mediácia</w:t>
      </w:r>
    </w:p>
    <w:p>
      <w:pPr>
        <w:spacing w:before="0" w:after="100"/>
        <w:jc w:val="center"/>
      </w:pPr>
      <w:r>
        <w:rPr>
          <w:rFonts w:ascii="Times New Roman" w:hAnsi="Times New Roman"/>
          <w:b w:val="0"/>
          <w:color w:val="000000"/>
          <w:sz w:val="20"/>
        </w:rPr>
        <w:t>uzatvorená podľa § 75 ods. 1 písm. c) zákona č. 300/2025 Z. z. o vysokých školách a o zmene a doplnení niektorých zákonov a § 51 zákona č. 40/1964 Zb. Občianskeho zákonníka v znení neskorších predpisov (ďalej len „zmluva“)</w:t>
      </w:r>
    </w:p>
    <w:tbl>
      <w:tblPr>
        <w:tblW w:type="auto" w:w="0"/>
        <w:tblLayout w:type="fixed"/>
        <w:tblLook w:firstColumn="1" w:firstRow="1" w:lastColumn="0" w:lastRow="0" w:noHBand="0" w:noVBand="1" w:val="04A0"/>
      </w:tblPr>
      <w:tblGrid>
        <w:gridCol w:w="5216"/>
        <w:gridCol w:w="5216"/>
      </w:tblGrid>
      <w:tr>
        <w:tc>
          <w:tcPr>
            <w:tcW w:type="dxa" w:w="5216"/>
            <w:tcMar>
              <w:top w:w="90" w:type="dxa"/>
              <w:bottom w:w="90" w:type="dxa"/>
              <w:left w:w="0" w:type="dxa"/>
              <w:right w:w="110" w:type="dxa"/>
            </w:tcMar>
          </w:tcPr>
          <w:p>
            <w:pPr>
              <w:spacing w:before="0" w:after="40"/>
            </w:pPr>
            <w:r>
              <w:rPr>
                <w:rFonts w:ascii="Times New Roman" w:hAnsi="Times New Roman"/>
                <w:b/>
                <w:color w:val="000000"/>
                <w:sz w:val="20"/>
              </w:rPr>
              <w:t>TRNAVSKÁ UNIVERZITA V TRNAVE</w:t>
            </w:r>
          </w:p>
          <w:p>
            <w:pPr>
              <w:spacing w:before="0" w:after="20"/>
            </w:pPr>
            <w:r>
              <w:rPr>
                <w:rFonts w:ascii="Times New Roman" w:hAnsi="Times New Roman"/>
                <w:b w:val="0"/>
                <w:color w:val="000000"/>
                <w:sz w:val="20"/>
              </w:rPr>
              <w:t>Hornopotočná 23, 918 43 Trnava · IČO: 318 25 249</w:t>
            </w:r>
          </w:p>
          <w:p>
            <w:pPr>
              <w:spacing w:before="0" w:after="20"/>
            </w:pPr>
            <w:r>
              <w:rPr>
                <w:rFonts w:ascii="Times New Roman" w:hAnsi="Times New Roman"/>
                <w:b w:val="0"/>
                <w:color w:val="000000"/>
                <w:sz w:val="20"/>
              </w:rPr>
              <w:t>Zastúpená: prof. ThLic. Miloš Lichner, D.Th., rektor</w:t>
            </w:r>
          </w:p>
          <w:p>
            <w:pPr>
              <w:spacing w:before="0" w:after="20"/>
            </w:pPr>
            <w:r>
              <w:rPr>
                <w:rFonts w:ascii="Times New Roman" w:hAnsi="Times New Roman"/>
                <w:b w:val="0"/>
                <w:color w:val="000000"/>
                <w:sz w:val="20"/>
              </w:rPr>
              <w:t>Súčasť: Teologická fakulta</w:t>
            </w:r>
          </w:p>
          <w:p>
            <w:pPr>
              <w:spacing w:before="0" w:after="20"/>
            </w:pPr>
            <w:r>
              <w:rPr>
                <w:rFonts w:ascii="Times New Roman" w:hAnsi="Times New Roman"/>
                <w:b w:val="0"/>
                <w:color w:val="000000"/>
                <w:sz w:val="20"/>
              </w:rPr>
              <w:t>Kostolná 1, 814 99 Bratislava</w:t>
            </w:r>
          </w:p>
          <w:p>
            <w:pPr>
              <w:spacing w:before="0" w:after="20"/>
            </w:pPr>
            <w:r>
              <w:rPr>
                <w:rFonts w:ascii="Times New Roman" w:hAnsi="Times New Roman"/>
                <w:b w:val="0"/>
                <w:color w:val="000000"/>
                <w:sz w:val="20"/>
              </w:rPr>
              <w:t>Zastúpená: ThDr. ICDr. Remigiusz Piotr Górski, PhD.,</w:t>
            </w:r>
          </w:p>
          <w:p>
            <w:pPr>
              <w:spacing w:before="0" w:after="20"/>
            </w:pPr>
            <w:r>
              <w:rPr>
                <w:rFonts w:ascii="Times New Roman" w:hAnsi="Times New Roman"/>
                <w:b w:val="0"/>
                <w:color w:val="000000"/>
                <w:sz w:val="20"/>
              </w:rPr>
              <w:t>univ. docent, dekan</w:t>
            </w:r>
          </w:p>
          <w:p>
            <w:pPr>
              <w:spacing w:before="0" w:after="20"/>
            </w:pPr>
            <w:r>
              <w:rPr>
                <w:rFonts w:ascii="Times New Roman" w:hAnsi="Times New Roman"/>
                <w:b w:val="0"/>
                <w:color w:val="000000"/>
                <w:sz w:val="20"/>
              </w:rPr>
              <w:t xml:space="preserve">Kontakt TF TU: </w:t>
            </w:r>
            <w:permStart w:id="1" w:edGrp="everyone"/>
            <w:sdt>
              <w:sdtPr>
                <w:tag w:val="pole_1"/>
                <w:alias w:val="Vyplniteľný údaj 1"/>
                <w:text/>
              </w:sdtPr>
              <w:sdtContent>
                <w:r>
                  <w:rPr>
                    <w:rFonts w:ascii="Times New Roman" w:hAnsi="Times New Roman"/>
                    <w:b w:val="0"/>
                    <w:color w:val="000000"/>
                    <w:sz w:val="20"/>
                  </w:rPr>
                  <w:t xml:space="preserve">........................................................</w:t>
                </w:r>
              </w:sdtContent>
            </w:sdt>
            <w:permEnd w:id="1"/>
          </w:p>
          <w:p>
            <w:pPr>
              <w:spacing w:before="0" w:after="20"/>
            </w:pPr>
            <w:r>
              <w:rPr>
                <w:rFonts w:ascii="Times New Roman" w:hAnsi="Times New Roman"/>
                <w:b w:val="0"/>
                <w:color w:val="000000"/>
                <w:sz w:val="20"/>
              </w:rPr>
              <w:t>(ďalej len „TF TU“)</w:t>
            </w:r>
          </w:p>
        </w:tc>
        <w:tc>
          <w:tcPr>
            <w:tcW w:type="dxa" w:w="5216"/>
            <w:tcMar>
              <w:top w:w="90" w:type="dxa"/>
              <w:bottom w:w="90" w:type="dxa"/>
              <w:left w:w="0" w:type="dxa"/>
              <w:right w:w="110" w:type="dxa"/>
            </w:tcMar>
          </w:tcPr>
          <w:p>
            <w:pPr>
              <w:spacing w:before="0" w:after="40"/>
            </w:pPr>
            <w:r>
              <w:rPr>
                <w:rFonts w:ascii="Times New Roman" w:hAnsi="Times New Roman"/>
                <w:b/>
                <w:color w:val="000000"/>
                <w:sz w:val="20"/>
              </w:rPr>
              <w:t>POSKYTOVATEĽ ODBORNEJ PRAXE</w:t>
            </w:r>
          </w:p>
          <w:p>
            <w:pPr>
              <w:spacing w:before="0" w:after="20"/>
            </w:pPr>
            <w:r>
              <w:rPr>
                <w:rFonts w:ascii="Times New Roman" w:hAnsi="Times New Roman"/>
                <w:b w:val="0"/>
                <w:color w:val="000000"/>
                <w:sz w:val="20"/>
              </w:rPr>
              <w:t xml:space="preserve">Názov / meno a priezvisko: </w:t>
            </w:r>
            <w:permStart w:id="2" w:edGrp="everyone"/>
            <w:sdt>
              <w:sdtPr>
                <w:tag w:val="pole_2"/>
                <w:alias w:val="Vyplniteľný údaj 2"/>
                <w:text/>
              </w:sdtPr>
              <w:sdtContent>
                <w:r>
                  <w:rPr>
                    <w:rFonts w:ascii="Times New Roman" w:hAnsi="Times New Roman"/>
                    <w:b w:val="0"/>
                    <w:color w:val="000000"/>
                    <w:sz w:val="20"/>
                  </w:rPr>
                  <w:t xml:space="preserve">........................................................</w:t>
                </w:r>
              </w:sdtContent>
            </w:sdt>
            <w:permEnd w:id="2"/>
          </w:p>
          <w:p>
            <w:pPr>
              <w:spacing w:before="0" w:after="20"/>
            </w:pPr>
            <w:r>
              <w:rPr>
                <w:rFonts w:ascii="Times New Roman" w:hAnsi="Times New Roman"/>
                <w:b w:val="0"/>
                <w:color w:val="000000"/>
                <w:sz w:val="20"/>
              </w:rPr>
              <w:t xml:space="preserve">Zastúpený: </w:t>
            </w:r>
            <w:permStart w:id="3" w:edGrp="everyone"/>
            <w:sdt>
              <w:sdtPr>
                <w:tag w:val="pole_3"/>
                <w:alias w:val="Vyplniteľný údaj 3"/>
                <w:text/>
              </w:sdtPr>
              <w:sdtContent>
                <w:r>
                  <w:rPr>
                    <w:rFonts w:ascii="Times New Roman" w:hAnsi="Times New Roman"/>
                    <w:b w:val="0"/>
                    <w:color w:val="000000"/>
                    <w:sz w:val="20"/>
                  </w:rPr>
                  <w:t xml:space="preserve">................................................................</w:t>
                </w:r>
              </w:sdtContent>
            </w:sdt>
            <w:permEnd w:id="3"/>
          </w:p>
          <w:p>
            <w:pPr>
              <w:spacing w:before="0" w:after="20"/>
            </w:pPr>
            <w:r>
              <w:rPr>
                <w:rFonts w:ascii="Times New Roman" w:hAnsi="Times New Roman"/>
                <w:b w:val="0"/>
                <w:color w:val="000000"/>
                <w:sz w:val="20"/>
              </w:rPr>
              <w:t xml:space="preserve">Sídlo / adresa: </w:t>
            </w:r>
            <w:permStart w:id="4" w:edGrp="everyone"/>
            <w:sdt>
              <w:sdtPr>
                <w:tag w:val="pole_4"/>
                <w:alias w:val="Vyplniteľný údaj 4"/>
                <w:text/>
              </w:sdtPr>
              <w:sdtContent>
                <w:r>
                  <w:rPr>
                    <w:rFonts w:ascii="Times New Roman" w:hAnsi="Times New Roman"/>
                    <w:b w:val="0"/>
                    <w:color w:val="000000"/>
                    <w:sz w:val="20"/>
                  </w:rPr>
                  <w:t xml:space="preserve">..........................................................</w:t>
                </w:r>
              </w:sdtContent>
            </w:sdt>
            <w:permEnd w:id="4"/>
          </w:p>
          <w:p>
            <w:pPr>
              <w:spacing w:before="0" w:after="20"/>
            </w:pPr>
            <w:r>
              <w:rPr>
                <w:rFonts w:ascii="Times New Roman" w:hAnsi="Times New Roman"/>
                <w:b w:val="0"/>
                <w:color w:val="000000"/>
                <w:sz w:val="20"/>
              </w:rPr>
              <w:t xml:space="preserve">IČO (ak je pridelené): </w:t>
            </w:r>
            <w:permStart w:id="5" w:edGrp="everyone"/>
            <w:sdt>
              <w:sdtPr>
                <w:tag w:val="pole_5"/>
                <w:alias w:val="Vyplniteľný údaj 5"/>
                <w:text/>
              </w:sdtPr>
              <w:sdtContent>
                <w:r>
                  <w:rPr>
                    <w:rFonts w:ascii="Times New Roman" w:hAnsi="Times New Roman"/>
                    <w:b w:val="0"/>
                    <w:color w:val="000000"/>
                    <w:sz w:val="20"/>
                  </w:rPr>
                  <w:t xml:space="preserve">...............................................</w:t>
                </w:r>
              </w:sdtContent>
            </w:sdt>
            <w:permEnd w:id="5"/>
          </w:p>
          <w:p>
            <w:pPr>
              <w:spacing w:before="0" w:after="20"/>
            </w:pPr>
            <w:r>
              <w:rPr>
                <w:rFonts w:ascii="Times New Roman" w:hAnsi="Times New Roman"/>
                <w:b w:val="0"/>
                <w:color w:val="000000"/>
                <w:sz w:val="20"/>
              </w:rPr>
              <w:t xml:space="preserve">Register a zápis, ak sa zapisuje: </w:t>
            </w:r>
            <w:permStart w:id="6" w:edGrp="everyone"/>
            <w:sdt>
              <w:sdtPr>
                <w:tag w:val="pole_6"/>
                <w:alias w:val="Vyplniteľný údaj 6"/>
                <w:text/>
              </w:sdtPr>
              <w:sdtContent>
                <w:r>
                  <w:rPr>
                    <w:rFonts w:ascii="Times New Roman" w:hAnsi="Times New Roman"/>
                    <w:b w:val="0"/>
                    <w:color w:val="000000"/>
                    <w:sz w:val="20"/>
                  </w:rPr>
                  <w:t xml:space="preserve">...............................</w:t>
                </w:r>
              </w:sdtContent>
            </w:sdt>
            <w:permEnd w:id="6"/>
          </w:p>
          <w:p>
            <w:pPr>
              <w:spacing w:before="0" w:after="20"/>
            </w:pPr>
            <w:r>
              <w:rPr>
                <w:rFonts w:ascii="Times New Roman" w:hAnsi="Times New Roman"/>
                <w:b w:val="0"/>
                <w:color w:val="000000"/>
                <w:sz w:val="20"/>
              </w:rPr>
              <w:t xml:space="preserve">Kontakt: </w:t>
            </w:r>
            <w:permStart w:id="7" w:edGrp="everyone"/>
            <w:sdt>
              <w:sdtPr>
                <w:tag w:val="pole_7"/>
                <w:alias w:val="Vyplniteľný údaj 7"/>
                <w:text/>
              </w:sdtPr>
              <w:sdtContent>
                <w:r>
                  <w:rPr>
                    <w:rFonts w:ascii="Times New Roman" w:hAnsi="Times New Roman"/>
                    <w:b w:val="0"/>
                    <w:color w:val="000000"/>
                    <w:sz w:val="20"/>
                  </w:rPr>
                  <w:t xml:space="preserve">...................................................................</w:t>
                </w:r>
              </w:sdtContent>
            </w:sdt>
            <w:permEnd w:id="7"/>
          </w:p>
          <w:p>
            <w:pPr>
              <w:spacing w:before="0" w:after="20"/>
            </w:pPr>
            <w:r>
              <w:rPr>
                <w:rFonts w:ascii="Times New Roman" w:hAnsi="Times New Roman"/>
                <w:b w:val="0"/>
                <w:color w:val="000000"/>
                <w:sz w:val="20"/>
              </w:rPr>
              <w:t>(ďalej len „poskytovateľ“)</w:t>
            </w:r>
          </w:p>
        </w:tc>
      </w:tr>
    </w:tbl>
    <w:p>
      <w:pPr>
        <w:spacing w:before="0" w:after="60"/>
      </w:pPr>
      <w:r>
        <w:rPr>
          <w:rFonts w:ascii="Times New Roman" w:hAnsi="Times New Roman"/>
          <w:b w:val="0"/>
          <w:color w:val="000000"/>
          <w:sz w:val="20"/>
        </w:rPr>
        <w:t>(TF TU a poskytovateľ ďalej spolu aj „zmluvné strany“)</w:t>
      </w:r>
    </w:p>
    <w:p>
      <w:pPr>
        <w:keepNext/>
        <w:spacing w:before="140" w:after="80"/>
        <w:jc w:val="center"/>
      </w:pPr>
      <w:r>
        <w:rPr>
          <w:rFonts w:ascii="Times New Roman" w:hAnsi="Times New Roman"/>
          <w:b/>
          <w:color w:val="000000"/>
          <w:sz w:val="20"/>
        </w:rPr>
        <w:t>Článok 1 – Predmet a organizácia</w:t>
      </w:r>
    </w:p>
    <w:p>
      <w:pPr>
        <w:spacing w:before="0" w:after="70"/>
        <w:jc w:val="both"/>
      </w:pPr>
      <w:r>
        <w:rPr>
          <w:rFonts w:ascii="Times New Roman" w:hAnsi="Times New Roman"/>
          <w:b w:val="0"/>
          <w:color w:val="000000"/>
          <w:sz w:val="20"/>
        </w:rPr>
        <w:t>Predmetom zmluvy je zabezpečenie bezodplatnej odbornej praxe zo strany poskytovateľa v rámci svojich kapacitných možností pre súčasných aj budúcich študentov TF TU v programe Náboženská a kultúrna mediácia. Študenti budú koordinovaní koordinátormi/kontaktnými osobami, ktoré informujú o mieste, termínoch, rozsahu a cieľoch praxe podľa informačných listov predmetov.</w:t>
      </w:r>
    </w:p>
    <w:p>
      <w:pPr>
        <w:keepNext/>
        <w:spacing w:before="140" w:after="80"/>
        <w:jc w:val="center"/>
      </w:pPr>
      <w:r>
        <w:rPr>
          <w:rFonts w:ascii="Times New Roman" w:hAnsi="Times New Roman"/>
          <w:b/>
          <w:color w:val="000000"/>
          <w:sz w:val="20"/>
        </w:rPr>
        <w:t>Článok 2 – Podmienky a organizačné zabezpečenie</w:t>
      </w:r>
    </w:p>
    <w:p>
      <w:pPr>
        <w:spacing w:before="0" w:after="70"/>
        <w:jc w:val="both"/>
      </w:pPr>
      <w:r>
        <w:rPr>
          <w:rFonts w:ascii="Times New Roman" w:hAnsi="Times New Roman"/>
          <w:b w:val="0"/>
          <w:color w:val="000000"/>
          <w:sz w:val="20"/>
        </w:rPr>
        <w:t>2.1 Poskytovateľ zabezpečí odborné vedenie, bezpečné podmienky a pred začatím odbornej praxe preukázateľné poučenie o bezpečnosti a ochrane zdravia pri práci, ochrane pred požiarmi a pracoviskovom režime v súlade s príslušnými ustanoveniami zákona č. 314/2001 Z. z. o ochrane pred požiarmi v znení neskorších predpisov a preukázateľne preškolí každého študenta o požiadavkách ochrany pred požiarmi v objektoch a priestoroch podľa § 20 ods. 1 vyhlášky MV SR č. 121/2002 Z. z. o požiarnej prevencii v znení neskorších predpisov oprávnenou osobou. Potvrdí študentom absolvované hodiny a zhodnotí prax.</w:t>
      </w:r>
    </w:p>
    <w:p>
      <w:pPr>
        <w:spacing w:before="0" w:after="70"/>
        <w:jc w:val="both"/>
      </w:pPr>
      <w:r>
        <w:rPr>
          <w:rFonts w:ascii="Times New Roman" w:hAnsi="Times New Roman"/>
          <w:b w:val="0"/>
          <w:color w:val="000000"/>
          <w:sz w:val="20"/>
        </w:rPr>
        <w:t>2.2 TF TU zabezpečí prípravu, metodickú podporu a hodnotenie odbornej praxe. Študentov preukázateľne oboznámi o povinnosti dodržiavať mlčanlivosť o skutočnostiach, o ktorých sa dozvedeli v súvislosti s výkonom odbornej praxe, a to aj po ukončení tejto praxe. Strany chránia osobné a dôverné údaje podľa právnych predpisov a sprístupnia len nevyhnutné údaje. Výstupy TF TU využije len na vyučovanie, bez identifikácie klientov.</w:t>
      </w:r>
    </w:p>
    <w:p>
      <w:pPr>
        <w:keepNext/>
        <w:spacing w:before="140" w:after="80"/>
        <w:jc w:val="center"/>
      </w:pPr>
      <w:r>
        <w:rPr>
          <w:rFonts w:ascii="Times New Roman" w:hAnsi="Times New Roman"/>
          <w:b/>
          <w:color w:val="000000"/>
          <w:sz w:val="20"/>
        </w:rPr>
        <w:t>Článok 3 – Trvanie a skončenie zmluvy</w:t>
      </w:r>
    </w:p>
    <w:p>
      <w:pPr>
        <w:spacing w:before="0" w:after="70"/>
        <w:jc w:val="both"/>
      </w:pPr>
      <w:r>
        <w:rPr>
          <w:rFonts w:ascii="Times New Roman" w:hAnsi="Times New Roman"/>
          <w:b w:val="0"/>
          <w:color w:val="000000"/>
          <w:sz w:val="20"/>
        </w:rPr>
        <w:t xml:space="preserve">3.1 Zmluva sa uzatvára na dobu </w:t>
      </w:r>
      <w:permStart w:id="8" w:edGrp="everyone"/>
      <w:sdt>
        <w:sdtPr>
          <w:tag w:val="pole_8"/>
          <w:alias w:val="Vyplniteľný údaj 8"/>
          <w:text/>
        </w:sdtPr>
        <w:sdtContent>
          <w:r>
            <w:rPr>
              <w:rFonts w:ascii="Times New Roman" w:hAnsi="Times New Roman"/>
              <w:b w:val="0"/>
              <w:color w:val="000000"/>
              <w:sz w:val="20"/>
            </w:rPr>
            <w:t xml:space="preserve">[URČITÚ do ........................ / NEURČITÚ]</w:t>
          </w:r>
        </w:sdtContent>
      </w:sdt>
      <w:permEnd w:id="8"/>
      <w:r>
        <w:rPr>
          <w:rFonts w:ascii="Times New Roman" w:hAnsi="Times New Roman"/>
          <w:b w:val="0"/>
          <w:color w:val="000000"/>
          <w:sz w:val="20"/>
        </w:rPr>
        <w:t xml:space="preserve">.</w:t>
      </w:r>
    </w:p>
    <w:p>
      <w:pPr>
        <w:spacing w:before="0" w:after="70"/>
        <w:jc w:val="both"/>
      </w:pPr>
      <w:r>
        <w:rPr>
          <w:rFonts w:ascii="Times New Roman" w:hAnsi="Times New Roman"/>
          <w:b w:val="0"/>
          <w:color w:val="000000"/>
          <w:sz w:val="20"/>
        </w:rPr>
        <w:t>3.2 Zmluvu je možné ukončiť uplynutím určenej doby, písomnou dohodou alebo písomnou výpoveďou ktorejkoľvek strany aj bez dôvodu s trojmesačnou lehotou od doručenia. Začaté praxe sa dokončia do skončenia zmluvy; inak TF TU zabezpečí ich pokračovanie u iného zmluvného partnera.</w:t>
      </w:r>
    </w:p>
    <w:p>
      <w:pPr>
        <w:keepNext/>
        <w:spacing w:before="140" w:after="80"/>
        <w:jc w:val="center"/>
      </w:pPr>
      <w:r>
        <w:rPr>
          <w:rFonts w:ascii="Times New Roman" w:hAnsi="Times New Roman"/>
          <w:b/>
          <w:color w:val="000000"/>
          <w:sz w:val="20"/>
        </w:rPr>
        <w:t>Článok 4 – Bezpečnosť a zodpovednosť</w:t>
      </w:r>
    </w:p>
    <w:p>
      <w:pPr>
        <w:spacing w:before="0" w:after="70"/>
        <w:jc w:val="both"/>
      </w:pPr>
      <w:r>
        <w:rPr>
          <w:rFonts w:ascii="Times New Roman" w:hAnsi="Times New Roman"/>
          <w:b w:val="0"/>
          <w:color w:val="000000"/>
          <w:sz w:val="20"/>
        </w:rPr>
        <w:t>Pri ohrození zdravia alebo závažnom porušení povinností môže každá zmluvná strana odbornú prax ihneď prerušiť a oznámi to bezodkladne druhej zmluvnej strane. Úraz či vzniknutú škodu si strany bezodkladne oznámia. Zodpovednosť za škodu upravujú právne predpisy SR. Práva a povinnosti zmluvných strán pri predchádzaní hroziacim škodám a zo zodpovednosti za vznik prípadnej škody, ktoré nie sú upravené v tejto zmluve, sa riadia všeobecne záväznými právnymi predpismi, predovšetkým § 415 až § 450 Občianskeho zákonníka.</w:t>
      </w:r>
    </w:p>
    <w:p>
      <w:pPr>
        <w:keepNext/>
        <w:spacing w:before="140" w:after="80"/>
        <w:jc w:val="center"/>
      </w:pPr>
      <w:r>
        <w:rPr>
          <w:rFonts w:ascii="Times New Roman" w:hAnsi="Times New Roman"/>
          <w:b/>
          <w:color w:val="000000"/>
          <w:sz w:val="20"/>
        </w:rPr>
        <w:t>Článok 5 – Účinnosť a zmeny zmluvy</w:t>
      </w:r>
    </w:p>
    <w:p>
      <w:pPr>
        <w:spacing w:before="0" w:after="70"/>
        <w:jc w:val="both"/>
      </w:pPr>
      <w:r>
        <w:rPr>
          <w:rFonts w:ascii="Times New Roman" w:hAnsi="Times New Roman"/>
          <w:b w:val="0"/>
          <w:color w:val="000000"/>
          <w:sz w:val="20"/>
        </w:rPr>
        <w:t>5.1 Táto zmluva nadobúda platnosť dňom obojstranného podpisu štatutárnymi orgánmi zmluvných strán a účinnosť dňom nasledujúcim po dni jej zverejnenia v zmysle § 47a ods. 1 Občianskeho zákonníka v znení neskorších predpisov, v spojení s § 5a zákona č. 211/2000 Z. z. o slobodnom prístupe k informáciám v znení neskorších predpisov. Zmluvné strany podpisom vyjadrujú súhlas s jej zverejnením v plnom rozsahu.</w:t>
      </w:r>
    </w:p>
    <w:p>
      <w:pPr>
        <w:spacing w:before="0" w:after="70"/>
        <w:jc w:val="both"/>
      </w:pPr>
      <w:r>
        <w:rPr>
          <w:rFonts w:ascii="Times New Roman" w:hAnsi="Times New Roman"/>
          <w:b w:val="0"/>
          <w:color w:val="000000"/>
          <w:sz w:val="20"/>
        </w:rPr>
        <w:t>5.2 Zmluva môže byť doplnená alebo zmenená len po vzájomnej dohode zmluvných strán vo forme písomných, vzostupne očíslovaných dodatkov.  5.3 Zmluva má dva rovnopisy, po jednom pre každú stranu.  5.4 Zmluvné strany vyhlasujú, že si zmluvu prečítali, jej obsahu porozumeli, uzatvorili ju slobodne, vážne a určite, nie v tiesni ani za nápadne nevýhodných podmienok, a na znak súhlasu ju bez výhrad podpisujú.</w:t>
      </w:r>
    </w:p>
    <w:tbl>
      <w:tblPr>
        <w:tblW w:type="auto" w:w="0"/>
        <w:tblLayout w:type="fixed"/>
        <w:tblLook w:firstColumn="1" w:firstRow="1" w:lastColumn="0" w:lastRow="0" w:noHBand="0" w:noVBand="1" w:val="04A0"/>
      </w:tblPr>
      <w:tblGrid>
        <w:gridCol w:w="5216"/>
        <w:gridCol w:w="5216"/>
      </w:tblGrid>
      <w:tr>
        <w:tc>
          <w:tcPr>
            <w:tcW w:type="dxa" w:w="5216"/>
          </w:tcPr>
          <w:p>
            <w:pPr>
              <w:spacing w:before="80" w:after="40"/>
            </w:pPr>
            <w:r>
              <w:rPr>
                <w:rFonts w:ascii="Times New Roman" w:hAnsi="Times New Roman"/>
                <w:b/>
                <w:color w:val="000000"/>
                <w:sz w:val="20"/>
              </w:rPr>
              <w:t>Za TF TU</w:t>
            </w:r>
          </w:p>
          <w:p>
            <w:pPr>
              <w:spacing w:before="0" w:after="40"/>
            </w:pPr>
            <w:r>
              <w:rPr>
                <w:rFonts w:ascii="Times New Roman" w:hAnsi="Times New Roman"/>
                <w:b w:val="0"/>
                <w:color w:val="000000"/>
                <w:sz w:val="20"/>
              </w:rPr>
              <w:t xml:space="preserve">V Bratislave, dňa </w:t>
            </w:r>
            <w:permStart w:id="9" w:edGrp="everyone"/>
            <w:sdt>
              <w:sdtPr>
                <w:tag w:val="pole_9"/>
                <w:alias w:val="Vyplniteľný údaj 9"/>
                <w:text/>
              </w:sdtPr>
              <w:sdtContent>
                <w:r>
                  <w:rPr>
                    <w:rFonts w:ascii="Times New Roman" w:hAnsi="Times New Roman"/>
                    <w:b w:val="0"/>
                    <w:color w:val="000000"/>
                    <w:sz w:val="20"/>
                  </w:rPr>
                  <w:t xml:space="preserve">........................</w:t>
                </w:r>
              </w:sdtContent>
            </w:sdt>
            <w:permEnd w:id="9"/>
          </w:p>
          <w:p>
            <w:pPr>
              <w:spacing w:before="860" w:after="40"/>
            </w:pPr>
            <w:r>
              <w:rPr>
                <w:rFonts w:ascii="Times New Roman" w:hAnsi="Times New Roman"/>
                <w:b w:val="0"/>
                <w:color w:val="000000"/>
                <w:sz w:val="20"/>
              </w:rPr>
              <w:t>................................................................</w:t>
            </w:r>
          </w:p>
          <w:p>
            <w:pPr>
              <w:spacing w:before="0" w:after="0"/>
            </w:pPr>
            <w:r>
              <w:rPr>
                <w:rFonts w:ascii="Times New Roman" w:hAnsi="Times New Roman"/>
                <w:b w:val="0"/>
                <w:color w:val="000000"/>
                <w:sz w:val="20"/>
              </w:rPr>
              <w:t>ThDr. ICDr. Remigiusz Piotr Górski, PhD.</w:t>
            </w:r>
          </w:p>
          <w:p>
            <w:pPr>
              <w:spacing w:before="0" w:after="0"/>
            </w:pPr>
            <w:r>
              <w:rPr>
                <w:rFonts w:ascii="Times New Roman" w:hAnsi="Times New Roman"/>
                <w:b w:val="0"/>
                <w:color w:val="000000"/>
                <w:sz w:val="20"/>
              </w:rPr>
              <w:t>univ. docent, dekan</w:t>
            </w:r>
          </w:p>
        </w:tc>
        <w:tc>
          <w:tcPr>
            <w:tcW w:type="dxa" w:w="5216"/>
          </w:tcPr>
          <w:p>
            <w:pPr>
              <w:spacing w:before="80" w:after="40"/>
            </w:pPr>
            <w:r>
              <w:rPr>
                <w:rFonts w:ascii="Times New Roman" w:hAnsi="Times New Roman"/>
                <w:b/>
                <w:color w:val="000000"/>
                <w:sz w:val="20"/>
              </w:rPr>
              <w:t>Za poskytovateľa</w:t>
            </w:r>
          </w:p>
          <w:p>
            <w:pPr>
              <w:spacing w:before="0" w:after="40"/>
            </w:pPr>
            <w:r>
              <w:rPr>
                <w:rFonts w:ascii="Times New Roman" w:hAnsi="Times New Roman"/>
                <w:b w:val="0"/>
                <w:color w:val="000000"/>
                <w:sz w:val="20"/>
              </w:rPr>
              <w:t xml:space="preserve">V </w:t>
            </w:r>
            <w:permStart w:id="10" w:edGrp="everyone"/>
            <w:sdt>
              <w:sdtPr>
                <w:tag w:val="pole_10"/>
                <w:alias w:val="Vyplniteľný údaj 10"/>
                <w:text/>
              </w:sdtPr>
              <w:sdtContent>
                <w:r>
                  <w:rPr>
                    <w:rFonts w:ascii="Times New Roman" w:hAnsi="Times New Roman"/>
                    <w:b w:val="0"/>
                    <w:color w:val="000000"/>
                    <w:sz w:val="20"/>
                  </w:rPr>
                  <w:t xml:space="preserve">........................</w:t>
                </w:r>
              </w:sdtContent>
            </w:sdt>
            <w:permEnd w:id="10"/>
            <w:r>
              <w:rPr>
                <w:rFonts w:ascii="Times New Roman" w:hAnsi="Times New Roman"/>
                <w:b w:val="0"/>
                <w:color w:val="000000"/>
                <w:sz w:val="20"/>
              </w:rPr>
              <w:t xml:space="preserve">, dňa </w:t>
            </w:r>
            <w:permStart w:id="11" w:edGrp="everyone"/>
            <w:sdt>
              <w:sdtPr>
                <w:tag w:val="pole_11"/>
                <w:alias w:val="Vyplniteľný údaj 11"/>
                <w:text/>
              </w:sdtPr>
              <w:sdtContent>
                <w:r>
                  <w:rPr>
                    <w:rFonts w:ascii="Times New Roman" w:hAnsi="Times New Roman"/>
                    <w:b w:val="0"/>
                    <w:color w:val="000000"/>
                    <w:sz w:val="20"/>
                  </w:rPr>
                  <w:t xml:space="preserve">........................</w:t>
                </w:r>
              </w:sdtContent>
            </w:sdt>
            <w:permEnd w:id="11"/>
          </w:p>
          <w:p>
            <w:pPr>
              <w:spacing w:before="860" w:after="40"/>
            </w:pPr>
            <w:r>
              <w:rPr>
                <w:rFonts w:ascii="Times New Roman" w:hAnsi="Times New Roman"/>
                <w:b w:val="0"/>
                <w:color w:val="000000"/>
                <w:sz w:val="20"/>
              </w:rPr>
              <w:t>................................................................</w:t>
            </w:r>
          </w:p>
          <w:p>
            <w:pPr>
              <w:spacing w:before="0" w:after="0"/>
            </w:pPr>
            <w:r>
              <w:rPr>
                <w:rFonts w:ascii="Times New Roman" w:hAnsi="Times New Roman"/>
                <w:b w:val="0"/>
                <w:color w:val="000000"/>
                <w:sz w:val="20"/>
              </w:rPr>
              <w:t xml:space="preserve">Meno: </w:t>
            </w:r>
            <w:permStart w:id="12" w:edGrp="everyone"/>
            <w:sdt>
              <w:sdtPr>
                <w:tag w:val="pole_12"/>
                <w:alias w:val="Vyplniteľný údaj 12"/>
                <w:text/>
              </w:sdtPr>
              <w:sdtContent>
                <w:r>
                  <w:rPr>
                    <w:rFonts w:ascii="Times New Roman" w:hAnsi="Times New Roman"/>
                    <w:b w:val="0"/>
                    <w:color w:val="000000"/>
                    <w:sz w:val="20"/>
                  </w:rPr>
                  <w:t xml:space="preserve">........................................................</w:t>
                </w:r>
              </w:sdtContent>
            </w:sdt>
            <w:permEnd w:id="12"/>
          </w:p>
          <w:p>
            <w:pPr>
              <w:spacing w:before="0" w:after="0"/>
            </w:pPr>
            <w:r>
              <w:rPr>
                <w:rFonts w:ascii="Times New Roman" w:hAnsi="Times New Roman"/>
                <w:b w:val="0"/>
                <w:color w:val="000000"/>
                <w:sz w:val="20"/>
              </w:rPr>
              <w:t xml:space="preserve">Funkcia: </w:t>
            </w:r>
            <w:permStart w:id="13" w:edGrp="everyone"/>
            <w:sdt>
              <w:sdtPr>
                <w:tag w:val="pole_13"/>
                <w:alias w:val="Vyplniteľný údaj 13"/>
                <w:text/>
              </w:sdtPr>
              <w:sdtContent>
                <w:r>
                  <w:rPr>
                    <w:rFonts w:ascii="Times New Roman" w:hAnsi="Times New Roman"/>
                    <w:b w:val="0"/>
                    <w:color w:val="000000"/>
                    <w:sz w:val="20"/>
                  </w:rPr>
                  <w:t xml:space="preserve">....................................................</w:t>
                </w:r>
              </w:sdtContent>
            </w:sdt>
            <w:permEnd w:id="13"/>
          </w:p>
        </w:tc>
      </w:tr>
    </w:tbl>
    <w:p>
      <w:pPr>
        <w:spacing w:before="0" w:after="0" w:line="20" w:lineRule="exact"/>
      </w:pPr>
    </w:p>
    <w:sectPr w:rsidR="00FC693F" w:rsidRPr="0006063C" w:rsidSect="00034616">
      <w:pgSz w:w="11906" w:h="16838"/>
      <w:pgMar w:top="567" w:right="737" w:bottom="567"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ocumentProtection w:edit="readOnly" w:enforcement="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line="240" w:lineRule="auto"/>
    </w:pPr>
    <w:rPr>
      <w:rFonts w:ascii="Times New Roman" w:hAnsi="Times New Roman"/>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